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zástupcovia objednávateľa [eShop]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objednávateľa [eShop]</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tovar/služba, cena objednávky,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adresa doručenia tovaru/služby, zakúpený tovar/služba, cena tovaru/služby, dátum uzatvorenie zmluvy, dátum doručenia, spôsob platby, v prípade uchovania platobných údajov (číslo karty na súhlas)</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číslo objednávky, číslo faktúry, reklamovaný tovar/služby, dátum predaja/dodania, dátum podania reklamácie, dátum vybavenia reklamácie, spôsob riešenia reklamácie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alebo zakúpený tovar/služba, dátum objednávky/predaja, potvrdenia a dátum doručenia a prebratia tovaru /služby, komunikácia medzi prevádzkovateľom</w:t>
            </w:r>
          </w:p>
        </w:tc>
      </w:tr>
    </w:tbl>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č.351/2011 Z.z.</w:t>
            </w:r>
            <w:r w:rsidDel="00000000" w:rsidR="00000000" w:rsidRPr="00000000">
              <w:rPr>
                <w:rtl w:val="0"/>
              </w:rPr>
              <w:t xml:space="preserve"> Zákon o elektronických komunikáciách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č.467/2002 Z.z.</w:t>
            </w:r>
            <w:r w:rsidDel="00000000" w:rsidR="00000000" w:rsidRPr="00000000">
              <w:rPr>
                <w:rtl w:val="0"/>
              </w:rPr>
              <w:t xml:space="preserve"> Zákon o výrobe a uvádzaní liehu na trh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č.101/2014 Z.z.</w:t>
            </w:r>
            <w:r w:rsidDel="00000000" w:rsidR="00000000" w:rsidRPr="00000000">
              <w:rPr>
                <w:rtl w:val="0"/>
              </w:rPr>
              <w:t xml:space="preserve"> Zákon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menia a dopĺňajú niektoré zákony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č.335/2014 Z.z.</w:t>
            </w:r>
            <w:r w:rsidDel="00000000" w:rsidR="00000000" w:rsidRPr="00000000">
              <w:rPr>
                <w:rtl w:val="0"/>
              </w:rPr>
              <w:t xml:space="preserve"> Zákon o spotrebiteľskom rozhodcovskom konaní a o zmene a doplnení niektorých zákonov</w:t>
            </w:r>
          </w:p>
        </w:tc>
      </w:tr>
    </w:tbl>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F">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5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30 dní v prípade ak nedôjde k predaju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Aktuálny rok a nasledujúcich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12 mesiacov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w:t>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6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3">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