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dlžníci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dlžníci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2">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